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11595" w14:textId="77777777" w:rsidR="00EA15B3" w:rsidRDefault="00EA15B3" w:rsidP="00EA15B3">
      <w:pPr>
        <w:spacing w:line="361" w:lineRule="exact"/>
        <w:ind w:left="2451"/>
        <w:rPr>
          <w:b/>
          <w:spacing w:val="17"/>
          <w:sz w:val="2"/>
          <w:szCs w:val="2"/>
        </w:rPr>
      </w:pPr>
    </w:p>
    <w:p w14:paraId="4C260647" w14:textId="42A0F62E" w:rsidR="008B65A0" w:rsidRPr="00EA15B3" w:rsidRDefault="000841F1" w:rsidP="00EA15B3">
      <w:pPr>
        <w:spacing w:line="361" w:lineRule="exact"/>
        <w:ind w:left="2451"/>
        <w:rPr>
          <w:b/>
          <w:sz w:val="36"/>
          <w:szCs w:val="36"/>
        </w:rPr>
      </w:pPr>
      <w:r w:rsidRPr="00EA15B3">
        <w:rPr>
          <w:noProof/>
          <w:sz w:val="36"/>
          <w:szCs w:val="36"/>
        </w:rPr>
        <w:drawing>
          <wp:anchor distT="0" distB="0" distL="0" distR="0" simplePos="0" relativeHeight="15728640" behindDoc="0" locked="0" layoutInCell="1" allowOverlap="1" wp14:anchorId="44A32CE8" wp14:editId="752E9922">
            <wp:simplePos x="0" y="0"/>
            <wp:positionH relativeFrom="page">
              <wp:posOffset>586596</wp:posOffset>
            </wp:positionH>
            <wp:positionV relativeFrom="paragraph">
              <wp:posOffset>-105195</wp:posOffset>
            </wp:positionV>
            <wp:extent cx="1112302" cy="1103941"/>
            <wp:effectExtent l="0" t="0" r="0" b="1270"/>
            <wp:wrapNone/>
            <wp:docPr id="1" name="Image 1" descr="A logo of a state capitol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state capitol  Description automatically generated"/>
                    <pic:cNvPicPr/>
                  </pic:nvPicPr>
                  <pic:blipFill>
                    <a:blip r:embed="rId7" cstate="print"/>
                    <a:stretch>
                      <a:fillRect/>
                    </a:stretch>
                  </pic:blipFill>
                  <pic:spPr>
                    <a:xfrm>
                      <a:off x="0" y="0"/>
                      <a:ext cx="1120028" cy="1111609"/>
                    </a:xfrm>
                    <a:prstGeom prst="rect">
                      <a:avLst/>
                    </a:prstGeom>
                  </pic:spPr>
                </pic:pic>
              </a:graphicData>
            </a:graphic>
            <wp14:sizeRelH relativeFrom="margin">
              <wp14:pctWidth>0</wp14:pctWidth>
            </wp14:sizeRelH>
            <wp14:sizeRelV relativeFrom="margin">
              <wp14:pctHeight>0</wp14:pctHeight>
            </wp14:sizeRelV>
          </wp:anchor>
        </w:drawing>
      </w:r>
      <w:r w:rsidRPr="00EA15B3">
        <w:rPr>
          <w:b/>
          <w:spacing w:val="17"/>
          <w:sz w:val="36"/>
          <w:szCs w:val="36"/>
        </w:rPr>
        <w:t>ConnectMT</w:t>
      </w:r>
      <w:r w:rsidRPr="00EA15B3">
        <w:rPr>
          <w:b/>
          <w:spacing w:val="41"/>
          <w:sz w:val="36"/>
          <w:szCs w:val="36"/>
        </w:rPr>
        <w:t xml:space="preserve"> </w:t>
      </w:r>
      <w:r w:rsidRPr="00EA15B3">
        <w:rPr>
          <w:b/>
          <w:spacing w:val="14"/>
          <w:sz w:val="36"/>
          <w:szCs w:val="36"/>
        </w:rPr>
        <w:t>Program</w:t>
      </w:r>
    </w:p>
    <w:p w14:paraId="69CBA988" w14:textId="70F24790" w:rsidR="008B65A0" w:rsidRPr="00EA15B3" w:rsidRDefault="000841F1" w:rsidP="00EA15B3">
      <w:pPr>
        <w:pStyle w:val="Title"/>
        <w:rPr>
          <w:sz w:val="40"/>
          <w:szCs w:val="40"/>
        </w:rPr>
      </w:pPr>
      <w:r w:rsidRPr="00EA15B3">
        <w:rPr>
          <w:spacing w:val="17"/>
          <w:sz w:val="40"/>
          <w:szCs w:val="40"/>
        </w:rPr>
        <w:t>Reimbursement</w:t>
      </w:r>
      <w:r w:rsidRPr="00EA15B3">
        <w:rPr>
          <w:spacing w:val="40"/>
          <w:sz w:val="40"/>
          <w:szCs w:val="40"/>
        </w:rPr>
        <w:t xml:space="preserve"> </w:t>
      </w:r>
      <w:r w:rsidRPr="00EA15B3">
        <w:rPr>
          <w:spacing w:val="14"/>
          <w:sz w:val="40"/>
          <w:szCs w:val="40"/>
        </w:rPr>
        <w:t>Request</w:t>
      </w:r>
      <w:r w:rsidR="00A02EA1" w:rsidRPr="00EA15B3">
        <w:rPr>
          <w:spacing w:val="14"/>
          <w:sz w:val="40"/>
          <w:szCs w:val="40"/>
        </w:rPr>
        <w:t xml:space="preserve"> Quick Tips</w:t>
      </w:r>
    </w:p>
    <w:p w14:paraId="7796376E" w14:textId="13D4BE65" w:rsidR="00A8064E" w:rsidRPr="00EA15B3" w:rsidRDefault="00A8064E" w:rsidP="00EA15B3">
      <w:pPr>
        <w:pStyle w:val="BodyText"/>
        <w:rPr>
          <w:spacing w:val="17"/>
          <w:sz w:val="30"/>
          <w:szCs w:val="30"/>
        </w:rPr>
      </w:pPr>
      <w:r>
        <w:rPr>
          <w:spacing w:val="17"/>
          <w:sz w:val="31"/>
          <w:szCs w:val="31"/>
        </w:rPr>
        <w:t xml:space="preserve">                        </w:t>
      </w:r>
      <w:r w:rsidR="00EA15B3" w:rsidRPr="00EA15B3">
        <w:rPr>
          <w:spacing w:val="17"/>
          <w:sz w:val="30"/>
          <w:szCs w:val="30"/>
        </w:rPr>
        <w:t>Recommendations to Expedite Request Review</w:t>
      </w:r>
    </w:p>
    <w:p w14:paraId="27F33AB7" w14:textId="31074B31" w:rsidR="00A8064E" w:rsidRPr="00A8064E" w:rsidRDefault="00A8064E" w:rsidP="00A8064E">
      <w:pPr>
        <w:pStyle w:val="BodyText"/>
        <w:rPr>
          <w:spacing w:val="17"/>
          <w:sz w:val="20"/>
          <w:szCs w:val="20"/>
        </w:rPr>
      </w:pPr>
      <w:r>
        <w:rPr>
          <w:spacing w:val="17"/>
          <w:sz w:val="31"/>
          <w:szCs w:val="31"/>
        </w:rPr>
        <w:br/>
      </w:r>
    </w:p>
    <w:p w14:paraId="490F66BE" w14:textId="0DD9E55C" w:rsidR="008B65A0" w:rsidRDefault="0059479A">
      <w:pPr>
        <w:pStyle w:val="BodyText"/>
        <w:spacing w:before="26"/>
        <w:rPr>
          <w:sz w:val="24"/>
        </w:rPr>
      </w:pPr>
      <w:r>
        <w:rPr>
          <w:sz w:val="24"/>
        </w:rPr>
        <w:pict w14:anchorId="7B40A487">
          <v:rect id="_x0000_i1025" style="width:0;height:1.5pt" o:hralign="center" o:hrstd="t" o:hr="t" fillcolor="#a0a0a0" stroked="f"/>
        </w:pict>
      </w:r>
    </w:p>
    <w:p w14:paraId="1A876836" w14:textId="27611B83" w:rsidR="00A02EA1" w:rsidRDefault="00EA15B3" w:rsidP="00EA15B3">
      <w:pPr>
        <w:pStyle w:val="Heading1"/>
        <w:tabs>
          <w:tab w:val="left" w:pos="559"/>
        </w:tabs>
        <w:ind w:left="200" w:firstLine="0"/>
      </w:pPr>
      <w:r>
        <w:rPr>
          <w:color w:val="6E86A2"/>
          <w:spacing w:val="12"/>
        </w:rPr>
        <w:br/>
      </w:r>
      <w:r w:rsidR="003176C0">
        <w:rPr>
          <w:color w:val="6E86A2"/>
          <w:spacing w:val="12"/>
        </w:rPr>
        <w:t xml:space="preserve">1. </w:t>
      </w:r>
      <w:r w:rsidR="00A02EA1">
        <w:rPr>
          <w:color w:val="6E86A2"/>
          <w:spacing w:val="12"/>
        </w:rPr>
        <w:t>Use</w:t>
      </w:r>
      <w:r w:rsidR="00A02EA1">
        <w:rPr>
          <w:color w:val="6E86A2"/>
          <w:spacing w:val="39"/>
        </w:rPr>
        <w:t xml:space="preserve"> </w:t>
      </w:r>
      <w:r w:rsidR="00A8064E">
        <w:rPr>
          <w:color w:val="6E86A2"/>
        </w:rPr>
        <w:t>D</w:t>
      </w:r>
      <w:r w:rsidR="00A02EA1">
        <w:rPr>
          <w:color w:val="6E86A2"/>
          <w:spacing w:val="18"/>
        </w:rPr>
        <w:t>escriptive</w:t>
      </w:r>
      <w:r w:rsidR="00A02EA1">
        <w:rPr>
          <w:color w:val="6E86A2"/>
          <w:spacing w:val="40"/>
        </w:rPr>
        <w:t xml:space="preserve"> </w:t>
      </w:r>
      <w:r w:rsidR="00A8064E">
        <w:rPr>
          <w:color w:val="6E86A2"/>
          <w:spacing w:val="16"/>
        </w:rPr>
        <w:t>N</w:t>
      </w:r>
      <w:r w:rsidR="00A02EA1">
        <w:rPr>
          <w:color w:val="6E86A2"/>
          <w:spacing w:val="16"/>
        </w:rPr>
        <w:t>aming</w:t>
      </w:r>
      <w:r w:rsidR="00A02EA1">
        <w:rPr>
          <w:color w:val="6E86A2"/>
          <w:spacing w:val="38"/>
        </w:rPr>
        <w:t xml:space="preserve"> </w:t>
      </w:r>
      <w:r w:rsidR="00A8064E">
        <w:rPr>
          <w:color w:val="6E86A2"/>
          <w:spacing w:val="15"/>
        </w:rPr>
        <w:t>Structure</w:t>
      </w:r>
      <w:r w:rsidR="00A02EA1">
        <w:rPr>
          <w:color w:val="6E86A2"/>
          <w:spacing w:val="15"/>
        </w:rPr>
        <w:t>.</w:t>
      </w:r>
    </w:p>
    <w:p w14:paraId="51A00D00" w14:textId="3981596C" w:rsidR="00A02EA1" w:rsidRPr="003176C0" w:rsidRDefault="00A02EA1" w:rsidP="00EA15B3">
      <w:pPr>
        <w:pStyle w:val="BodyText"/>
        <w:spacing w:before="6" w:line="252" w:lineRule="auto"/>
        <w:ind w:left="740" w:right="168"/>
      </w:pPr>
      <w:r w:rsidRPr="003176C0">
        <w:t>Use</w:t>
      </w:r>
      <w:r w:rsidRPr="003176C0">
        <w:rPr>
          <w:spacing w:val="-2"/>
        </w:rPr>
        <w:t xml:space="preserve"> </w:t>
      </w:r>
      <w:r w:rsidRPr="003176C0">
        <w:t>consistent</w:t>
      </w:r>
      <w:r w:rsidRPr="003176C0">
        <w:rPr>
          <w:spacing w:val="-6"/>
        </w:rPr>
        <w:t xml:space="preserve"> </w:t>
      </w:r>
      <w:r w:rsidRPr="003176C0">
        <w:t>and</w:t>
      </w:r>
      <w:r w:rsidRPr="003176C0">
        <w:rPr>
          <w:spacing w:val="-2"/>
        </w:rPr>
        <w:t xml:space="preserve"> </w:t>
      </w:r>
      <w:r w:rsidRPr="003176C0">
        <w:t>descrip</w:t>
      </w:r>
      <w:r w:rsidRPr="003176C0">
        <w:rPr>
          <w:rFonts w:ascii="Tahoma"/>
        </w:rPr>
        <w:t>t</w:t>
      </w:r>
      <w:r w:rsidRPr="003176C0">
        <w:t>ive</w:t>
      </w:r>
      <w:r w:rsidRPr="003176C0">
        <w:rPr>
          <w:spacing w:val="-2"/>
        </w:rPr>
        <w:t xml:space="preserve"> </w:t>
      </w:r>
      <w:r w:rsidRPr="003176C0">
        <w:t>(i.e.,</w:t>
      </w:r>
      <w:r w:rsidRPr="003176C0">
        <w:rPr>
          <w:spacing w:val="-6"/>
        </w:rPr>
        <w:t xml:space="preserve"> </w:t>
      </w:r>
      <w:r w:rsidRPr="003176C0">
        <w:t>vendor</w:t>
      </w:r>
      <w:r w:rsidRPr="003176C0">
        <w:rPr>
          <w:spacing w:val="-3"/>
        </w:rPr>
        <w:t xml:space="preserve"> </w:t>
      </w:r>
      <w:r w:rsidRPr="003176C0">
        <w:t>invoice</w:t>
      </w:r>
      <w:r w:rsidRPr="003176C0">
        <w:rPr>
          <w:spacing w:val="-7"/>
        </w:rPr>
        <w:t xml:space="preserve"> </w:t>
      </w:r>
      <w:r w:rsidRPr="003176C0">
        <w:t>number-date)</w:t>
      </w:r>
      <w:r w:rsidRPr="003176C0">
        <w:rPr>
          <w:spacing w:val="-3"/>
        </w:rPr>
        <w:t xml:space="preserve"> </w:t>
      </w:r>
      <w:r w:rsidRPr="003176C0">
        <w:t>naming</w:t>
      </w:r>
      <w:r w:rsidRPr="003176C0">
        <w:rPr>
          <w:spacing w:val="-7"/>
        </w:rPr>
        <w:t xml:space="preserve"> </w:t>
      </w:r>
      <w:r w:rsidRPr="003176C0">
        <w:t>structures</w:t>
      </w:r>
      <w:r w:rsidRPr="003176C0">
        <w:rPr>
          <w:spacing w:val="-5"/>
        </w:rPr>
        <w:t xml:space="preserve"> </w:t>
      </w:r>
      <w:r w:rsidRPr="003176C0">
        <w:t>for</w:t>
      </w:r>
      <w:r w:rsidRPr="003176C0">
        <w:rPr>
          <w:spacing w:val="-3"/>
        </w:rPr>
        <w:t xml:space="preserve"> </w:t>
      </w:r>
      <w:r w:rsidRPr="003176C0">
        <w:t>your invoices, proof of payment, and other documents.</w:t>
      </w:r>
      <w:r w:rsidRPr="003176C0">
        <w:br/>
      </w:r>
    </w:p>
    <w:p w14:paraId="0F629361" w14:textId="08F40273" w:rsidR="00A02EA1" w:rsidRPr="003B69FF" w:rsidRDefault="003176C0" w:rsidP="00EA15B3">
      <w:pPr>
        <w:pStyle w:val="Heading1"/>
        <w:tabs>
          <w:tab w:val="left" w:pos="559"/>
        </w:tabs>
        <w:ind w:left="200" w:firstLine="0"/>
        <w:rPr>
          <w:color w:val="6E86A2"/>
          <w:spacing w:val="12"/>
        </w:rPr>
      </w:pPr>
      <w:r>
        <w:rPr>
          <w:color w:val="6E86A2"/>
          <w:spacing w:val="12"/>
        </w:rPr>
        <w:t xml:space="preserve">2. </w:t>
      </w:r>
      <w:r w:rsidR="00A02EA1" w:rsidRPr="003B69FF">
        <w:rPr>
          <w:color w:val="6E86A2"/>
          <w:spacing w:val="12"/>
        </w:rPr>
        <w:t xml:space="preserve">Start with </w:t>
      </w:r>
      <w:r w:rsidR="00A8064E">
        <w:rPr>
          <w:color w:val="6E86A2"/>
          <w:spacing w:val="12"/>
        </w:rPr>
        <w:t>R</w:t>
      </w:r>
      <w:r w:rsidR="00A02EA1" w:rsidRPr="003B69FF">
        <w:rPr>
          <w:color w:val="6E86A2"/>
          <w:spacing w:val="12"/>
        </w:rPr>
        <w:t>ecent Status of Funds.</w:t>
      </w:r>
    </w:p>
    <w:p w14:paraId="53BCB7CB" w14:textId="4FF13828" w:rsidR="00A02EA1" w:rsidRDefault="00A02EA1" w:rsidP="00A02EA1">
      <w:pPr>
        <w:pStyle w:val="ListParagraph"/>
        <w:spacing w:line="252" w:lineRule="auto"/>
        <w:ind w:left="720" w:firstLine="0"/>
        <w:jc w:val="both"/>
        <w:rPr>
          <w:rStyle w:val="ui-provider"/>
        </w:rPr>
      </w:pPr>
      <w:r>
        <w:rPr>
          <w:rStyle w:val="ui-provider"/>
        </w:rPr>
        <w:t xml:space="preserve">Use the updated Status of Funds (SOF) document received with your last approval as the starting point for your subsequent reimbursement request. Using this updated SOF will aid in the accuracy and timeliness of the review and processing of the reimbursement. </w:t>
      </w:r>
    </w:p>
    <w:p w14:paraId="3290771D" w14:textId="32505B9A" w:rsidR="00A02EA1" w:rsidRDefault="00A02EA1" w:rsidP="00A02EA1">
      <w:pPr>
        <w:pStyle w:val="ListParagraph"/>
        <w:spacing w:line="252" w:lineRule="auto"/>
        <w:ind w:left="720" w:firstLine="0"/>
        <w:jc w:val="both"/>
        <w:rPr>
          <w:rStyle w:val="ui-provider"/>
          <w:rFonts w:eastAsiaTheme="minorHAnsi"/>
        </w:rPr>
      </w:pPr>
    </w:p>
    <w:p w14:paraId="0C1D8C3C" w14:textId="5CA27CF7" w:rsidR="00A02EA1" w:rsidRPr="003B69FF" w:rsidRDefault="003176C0" w:rsidP="00EA15B3">
      <w:pPr>
        <w:pStyle w:val="Heading1"/>
        <w:tabs>
          <w:tab w:val="left" w:pos="559"/>
        </w:tabs>
        <w:ind w:left="200" w:firstLine="0"/>
        <w:rPr>
          <w:color w:val="6E86A2"/>
          <w:spacing w:val="12"/>
        </w:rPr>
      </w:pPr>
      <w:r>
        <w:rPr>
          <w:color w:val="6E86A2"/>
          <w:spacing w:val="12"/>
        </w:rPr>
        <w:t xml:space="preserve">3. </w:t>
      </w:r>
      <w:r w:rsidR="00A02EA1">
        <w:rPr>
          <w:color w:val="6E86A2"/>
          <w:spacing w:val="12"/>
        </w:rPr>
        <w:t>Fo</w:t>
      </w:r>
      <w:r w:rsidR="00A02EA1" w:rsidRPr="003B69FF">
        <w:rPr>
          <w:color w:val="6E86A2"/>
          <w:spacing w:val="12"/>
        </w:rPr>
        <w:t xml:space="preserve">llow </w:t>
      </w:r>
      <w:r w:rsidR="00A8064E">
        <w:rPr>
          <w:color w:val="6E86A2"/>
          <w:spacing w:val="12"/>
        </w:rPr>
        <w:t>R</w:t>
      </w:r>
      <w:r w:rsidR="00A02EA1" w:rsidRPr="003B69FF">
        <w:rPr>
          <w:color w:val="6E86A2"/>
          <w:spacing w:val="12"/>
        </w:rPr>
        <w:t xml:space="preserve">equirements for </w:t>
      </w:r>
      <w:r w:rsidR="00A8064E">
        <w:rPr>
          <w:color w:val="6E86A2"/>
          <w:spacing w:val="12"/>
        </w:rPr>
        <w:t>R</w:t>
      </w:r>
      <w:r w:rsidR="00A02EA1" w:rsidRPr="003B69FF">
        <w:rPr>
          <w:color w:val="6E86A2"/>
          <w:spacing w:val="12"/>
        </w:rPr>
        <w:t xml:space="preserve">eimbursement </w:t>
      </w:r>
      <w:r w:rsidR="00A8064E">
        <w:rPr>
          <w:color w:val="6E86A2"/>
          <w:spacing w:val="12"/>
        </w:rPr>
        <w:t>C</w:t>
      </w:r>
      <w:r w:rsidR="00A02EA1">
        <w:rPr>
          <w:color w:val="6E86A2"/>
          <w:spacing w:val="12"/>
        </w:rPr>
        <w:t xml:space="preserve">ategory </w:t>
      </w:r>
      <w:r w:rsidR="00A8064E">
        <w:rPr>
          <w:color w:val="6E86A2"/>
          <w:spacing w:val="12"/>
        </w:rPr>
        <w:t>R</w:t>
      </w:r>
      <w:r w:rsidR="00A02EA1" w:rsidRPr="003B69FF">
        <w:rPr>
          <w:color w:val="6E86A2"/>
          <w:spacing w:val="12"/>
        </w:rPr>
        <w:t>equest</w:t>
      </w:r>
      <w:r w:rsidR="00A02EA1">
        <w:rPr>
          <w:color w:val="6E86A2"/>
          <w:spacing w:val="12"/>
        </w:rPr>
        <w:t>ed.</w:t>
      </w:r>
    </w:p>
    <w:p w14:paraId="1C109348" w14:textId="18542CC6" w:rsidR="00EA15B3" w:rsidRDefault="00A02EA1" w:rsidP="00EA15B3">
      <w:pPr>
        <w:pStyle w:val="ListParagraph"/>
        <w:spacing w:line="252" w:lineRule="auto"/>
        <w:ind w:left="720" w:firstLine="0"/>
        <w:jc w:val="both"/>
        <w:rPr>
          <w:rStyle w:val="ui-provider"/>
        </w:rPr>
      </w:pPr>
      <w:r>
        <w:rPr>
          <w:rStyle w:val="ui-provider"/>
        </w:rPr>
        <w:t xml:space="preserve">Reimbursements for non-construction requests may be submitted after submission of W-9 and 204 EFT. Reimbursements for construction-related expenses may only be submitted after DEQ clearance. See ARPA Broadband Environmental Forms on </w:t>
      </w:r>
      <w:hyperlink r:id="rId8" w:history="1">
        <w:proofErr w:type="spellStart"/>
        <w:r w:rsidR="0059479A">
          <w:rPr>
            <w:rStyle w:val="Hyperlink"/>
          </w:rPr>
          <w:t>AmpliFund</w:t>
        </w:r>
        <w:proofErr w:type="spellEnd"/>
      </w:hyperlink>
      <w:r>
        <w:rPr>
          <w:rStyle w:val="ui-provider"/>
        </w:rPr>
        <w:t xml:space="preserve"> for more details.</w:t>
      </w:r>
    </w:p>
    <w:p w14:paraId="078A00E7" w14:textId="42EEFE08" w:rsidR="00A02EA1" w:rsidRPr="00EA15B3" w:rsidRDefault="00A02EA1" w:rsidP="00EA15B3">
      <w:pPr>
        <w:pStyle w:val="ListParagraph"/>
        <w:spacing w:line="252" w:lineRule="auto"/>
        <w:ind w:left="720" w:firstLine="0"/>
        <w:jc w:val="both"/>
        <w:rPr>
          <w:rFonts w:eastAsiaTheme="minorHAnsi"/>
        </w:rPr>
      </w:pPr>
    </w:p>
    <w:p w14:paraId="6EE555D8" w14:textId="477458B4" w:rsidR="008B65A0" w:rsidRDefault="003176C0" w:rsidP="00EA15B3">
      <w:pPr>
        <w:pStyle w:val="Heading1"/>
        <w:tabs>
          <w:tab w:val="left" w:pos="559"/>
        </w:tabs>
        <w:ind w:left="200" w:firstLine="0"/>
      </w:pPr>
      <w:r>
        <w:rPr>
          <w:color w:val="6E86A2"/>
          <w:spacing w:val="14"/>
        </w:rPr>
        <w:t xml:space="preserve">4. </w:t>
      </w:r>
      <w:r w:rsidR="000841F1">
        <w:rPr>
          <w:color w:val="6E86A2"/>
          <w:spacing w:val="14"/>
        </w:rPr>
        <w:t>Check</w:t>
      </w:r>
      <w:r w:rsidR="000841F1">
        <w:rPr>
          <w:color w:val="6E86A2"/>
          <w:spacing w:val="40"/>
        </w:rPr>
        <w:t xml:space="preserve"> </w:t>
      </w:r>
      <w:r w:rsidR="000841F1">
        <w:rPr>
          <w:color w:val="6E86A2"/>
          <w:spacing w:val="13"/>
        </w:rPr>
        <w:t>the</w:t>
      </w:r>
      <w:r w:rsidR="000841F1">
        <w:rPr>
          <w:color w:val="6E86A2"/>
          <w:spacing w:val="40"/>
        </w:rPr>
        <w:t xml:space="preserve"> </w:t>
      </w:r>
      <w:r w:rsidR="00A8064E">
        <w:rPr>
          <w:color w:val="6E86A2"/>
          <w:spacing w:val="40"/>
        </w:rPr>
        <w:t>M</w:t>
      </w:r>
      <w:r w:rsidR="000841F1">
        <w:rPr>
          <w:color w:val="6E86A2"/>
          <w:spacing w:val="14"/>
        </w:rPr>
        <w:t>ath.</w:t>
      </w:r>
    </w:p>
    <w:p w14:paraId="6F1B42F7" w14:textId="77777777" w:rsidR="008B65A0" w:rsidRDefault="000841F1">
      <w:pPr>
        <w:pStyle w:val="BodyText"/>
        <w:spacing w:before="5" w:line="252" w:lineRule="auto"/>
        <w:ind w:left="740"/>
      </w:pPr>
      <w:r>
        <w:t>Before submi</w:t>
      </w:r>
      <w:r>
        <w:rPr>
          <w:rFonts w:ascii="Tahoma"/>
        </w:rPr>
        <w:t>tti</w:t>
      </w:r>
      <w:r>
        <w:t>ng</w:t>
      </w:r>
      <w:r>
        <w:rPr>
          <w:spacing w:val="-5"/>
        </w:rPr>
        <w:t xml:space="preserve"> </w:t>
      </w:r>
      <w:r>
        <w:t>a reimbursement</w:t>
      </w:r>
      <w:r>
        <w:rPr>
          <w:spacing w:val="-1"/>
        </w:rPr>
        <w:t xml:space="preserve"> </w:t>
      </w:r>
      <w:r>
        <w:t>request,</w:t>
      </w:r>
      <w:r>
        <w:rPr>
          <w:spacing w:val="-4"/>
        </w:rPr>
        <w:t xml:space="preserve"> </w:t>
      </w:r>
      <w:r>
        <w:t>verify</w:t>
      </w:r>
      <w:r>
        <w:rPr>
          <w:spacing w:val="-3"/>
        </w:rPr>
        <w:t xml:space="preserve"> </w:t>
      </w:r>
      <w:r>
        <w:t>the status</w:t>
      </w:r>
      <w:r>
        <w:rPr>
          <w:spacing w:val="-8"/>
        </w:rPr>
        <w:t xml:space="preserve"> </w:t>
      </w:r>
      <w:r>
        <w:t>of</w:t>
      </w:r>
      <w:r>
        <w:rPr>
          <w:spacing w:val="-3"/>
        </w:rPr>
        <w:t xml:space="preserve"> </w:t>
      </w:r>
      <w:r>
        <w:t>funds</w:t>
      </w:r>
      <w:r>
        <w:rPr>
          <w:spacing w:val="-3"/>
        </w:rPr>
        <w:t xml:space="preserve"> </w:t>
      </w:r>
      <w:r>
        <w:t>adds</w:t>
      </w:r>
      <w:r>
        <w:rPr>
          <w:spacing w:val="-3"/>
        </w:rPr>
        <w:t xml:space="preserve"> </w:t>
      </w:r>
      <w:r>
        <w:t>up.</w:t>
      </w:r>
      <w:r>
        <w:rPr>
          <w:spacing w:val="-4"/>
        </w:rPr>
        <w:t xml:space="preserve"> </w:t>
      </w:r>
      <w:r>
        <w:t>If</w:t>
      </w:r>
      <w:r>
        <w:rPr>
          <w:spacing w:val="-4"/>
        </w:rPr>
        <w:t xml:space="preserve"> </w:t>
      </w:r>
      <w:r>
        <w:t>you need to round, round consistently. Rounding errors will be noted, and the Department will reject reimbursement requests that do not add up correctly.</w:t>
      </w:r>
    </w:p>
    <w:p w14:paraId="01AC9A0F" w14:textId="77777777" w:rsidR="008B65A0" w:rsidRDefault="008B65A0">
      <w:pPr>
        <w:pStyle w:val="BodyText"/>
        <w:spacing w:before="71"/>
      </w:pPr>
    </w:p>
    <w:p w14:paraId="559EECA4" w14:textId="0F5D1718" w:rsidR="008B65A0" w:rsidRDefault="003176C0" w:rsidP="00EA15B3">
      <w:pPr>
        <w:pStyle w:val="Heading1"/>
        <w:tabs>
          <w:tab w:val="left" w:pos="559"/>
        </w:tabs>
        <w:spacing w:line="319" w:lineRule="exact"/>
        <w:ind w:left="200" w:firstLine="0"/>
      </w:pPr>
      <w:r>
        <w:rPr>
          <w:color w:val="6E86A2"/>
          <w:spacing w:val="16"/>
        </w:rPr>
        <w:t xml:space="preserve">5. </w:t>
      </w:r>
      <w:r w:rsidR="000841F1">
        <w:rPr>
          <w:color w:val="6E86A2"/>
          <w:spacing w:val="16"/>
        </w:rPr>
        <w:t>Clearly</w:t>
      </w:r>
      <w:r w:rsidR="000841F1">
        <w:rPr>
          <w:color w:val="6E86A2"/>
          <w:spacing w:val="42"/>
        </w:rPr>
        <w:t xml:space="preserve"> </w:t>
      </w:r>
      <w:r w:rsidR="00A8064E">
        <w:rPr>
          <w:color w:val="6E86A2"/>
          <w:spacing w:val="15"/>
        </w:rPr>
        <w:t>L</w:t>
      </w:r>
      <w:r w:rsidR="000841F1">
        <w:rPr>
          <w:color w:val="6E86A2"/>
          <w:spacing w:val="15"/>
        </w:rPr>
        <w:t>abel</w:t>
      </w:r>
      <w:r w:rsidR="000841F1">
        <w:rPr>
          <w:color w:val="6E86A2"/>
          <w:spacing w:val="40"/>
        </w:rPr>
        <w:t xml:space="preserve"> </w:t>
      </w:r>
      <w:r w:rsidR="00A8064E">
        <w:rPr>
          <w:color w:val="6E86A2"/>
          <w:spacing w:val="15"/>
        </w:rPr>
        <w:t>I</w:t>
      </w:r>
      <w:r w:rsidR="000841F1">
        <w:rPr>
          <w:color w:val="6E86A2"/>
          <w:spacing w:val="15"/>
        </w:rPr>
        <w:t>nvoices.</w:t>
      </w:r>
    </w:p>
    <w:p w14:paraId="4CE93C73" w14:textId="659460AE" w:rsidR="008B65A0" w:rsidRDefault="000841F1">
      <w:pPr>
        <w:pStyle w:val="BodyText"/>
        <w:spacing w:line="252" w:lineRule="auto"/>
        <w:ind w:left="740"/>
      </w:pPr>
      <w:r>
        <w:t>Include</w:t>
      </w:r>
      <w:r>
        <w:rPr>
          <w:spacing w:val="-1"/>
        </w:rPr>
        <w:t xml:space="preserve"> </w:t>
      </w:r>
      <w:r>
        <w:t>consistent</w:t>
      </w:r>
      <w:r>
        <w:rPr>
          <w:spacing w:val="-5"/>
        </w:rPr>
        <w:t xml:space="preserve"> </w:t>
      </w:r>
      <w:r>
        <w:t>and</w:t>
      </w:r>
      <w:r>
        <w:rPr>
          <w:spacing w:val="-1"/>
        </w:rPr>
        <w:t xml:space="preserve"> </w:t>
      </w:r>
      <w:r>
        <w:t>concise</w:t>
      </w:r>
      <w:r>
        <w:rPr>
          <w:spacing w:val="-1"/>
        </w:rPr>
        <w:t xml:space="preserve"> </w:t>
      </w:r>
      <w:r>
        <w:t>labels</w:t>
      </w:r>
      <w:r>
        <w:rPr>
          <w:spacing w:val="-4"/>
        </w:rPr>
        <w:t xml:space="preserve"> </w:t>
      </w:r>
      <w:r>
        <w:t>for</w:t>
      </w:r>
      <w:r>
        <w:rPr>
          <w:spacing w:val="-2"/>
        </w:rPr>
        <w:t xml:space="preserve"> </w:t>
      </w:r>
      <w:r>
        <w:t>all</w:t>
      </w:r>
      <w:r>
        <w:rPr>
          <w:spacing w:val="-3"/>
        </w:rPr>
        <w:t xml:space="preserve"> </w:t>
      </w:r>
      <w:r w:rsidR="00A8064E">
        <w:t>i</w:t>
      </w:r>
      <w:r>
        <w:t>nvoices.</w:t>
      </w:r>
      <w:r>
        <w:rPr>
          <w:spacing w:val="-5"/>
        </w:rPr>
        <w:t xml:space="preserve"> </w:t>
      </w:r>
      <w:r>
        <w:t>This</w:t>
      </w:r>
      <w:r>
        <w:rPr>
          <w:spacing w:val="-4"/>
        </w:rPr>
        <w:t xml:space="preserve"> </w:t>
      </w:r>
      <w:r>
        <w:t>labeling</w:t>
      </w:r>
      <w:r>
        <w:rPr>
          <w:spacing w:val="-6"/>
        </w:rPr>
        <w:t xml:space="preserve"> </w:t>
      </w:r>
      <w:r>
        <w:t>will</w:t>
      </w:r>
      <w:r>
        <w:rPr>
          <w:spacing w:val="-3"/>
        </w:rPr>
        <w:t xml:space="preserve"> </w:t>
      </w:r>
      <w:r>
        <w:t>support</w:t>
      </w:r>
      <w:r>
        <w:rPr>
          <w:spacing w:val="-10"/>
        </w:rPr>
        <w:t xml:space="preserve"> </w:t>
      </w:r>
      <w:r>
        <w:t>prompt</w:t>
      </w:r>
      <w:r>
        <w:rPr>
          <w:spacing w:val="-5"/>
        </w:rPr>
        <w:t xml:space="preserve"> </w:t>
      </w:r>
      <w:r>
        <w:t>and</w:t>
      </w:r>
      <w:r>
        <w:rPr>
          <w:spacing w:val="-6"/>
        </w:rPr>
        <w:t xml:space="preserve"> </w:t>
      </w:r>
      <w:r>
        <w:t>efficient review for reimbursement request approvals.</w:t>
      </w:r>
    </w:p>
    <w:p w14:paraId="2AC0F5B3" w14:textId="77777777" w:rsidR="008B65A0" w:rsidRDefault="008B65A0">
      <w:pPr>
        <w:pStyle w:val="BodyText"/>
      </w:pPr>
    </w:p>
    <w:p w14:paraId="56E16912" w14:textId="4FB6B188" w:rsidR="00A02EA1" w:rsidRPr="003B69FF" w:rsidRDefault="003176C0" w:rsidP="00EA15B3">
      <w:pPr>
        <w:pStyle w:val="Heading1"/>
        <w:tabs>
          <w:tab w:val="left" w:pos="559"/>
        </w:tabs>
        <w:ind w:left="200" w:firstLine="0"/>
        <w:rPr>
          <w:color w:val="6E86A2"/>
          <w:spacing w:val="12"/>
        </w:rPr>
      </w:pPr>
      <w:r>
        <w:rPr>
          <w:color w:val="6E86A2"/>
          <w:spacing w:val="12"/>
        </w:rPr>
        <w:t xml:space="preserve">6. </w:t>
      </w:r>
      <w:r w:rsidR="00A02EA1" w:rsidRPr="003B69FF">
        <w:rPr>
          <w:color w:val="6E86A2"/>
          <w:spacing w:val="12"/>
        </w:rPr>
        <w:t xml:space="preserve">Clearly </w:t>
      </w:r>
      <w:r w:rsidR="00A8064E">
        <w:rPr>
          <w:color w:val="6E86A2"/>
          <w:spacing w:val="12"/>
        </w:rPr>
        <w:t>D</w:t>
      </w:r>
      <w:r w:rsidR="00A02EA1" w:rsidRPr="003B69FF">
        <w:rPr>
          <w:color w:val="6E86A2"/>
          <w:spacing w:val="12"/>
        </w:rPr>
        <w:t xml:space="preserve">escribe </w:t>
      </w:r>
      <w:r w:rsidR="00A8064E">
        <w:rPr>
          <w:color w:val="6E86A2"/>
          <w:spacing w:val="12"/>
        </w:rPr>
        <w:t>S</w:t>
      </w:r>
      <w:r w:rsidR="00A02EA1" w:rsidRPr="003B69FF">
        <w:rPr>
          <w:color w:val="6E86A2"/>
          <w:spacing w:val="12"/>
        </w:rPr>
        <w:t xml:space="preserve">upporting </w:t>
      </w:r>
      <w:r w:rsidR="00A8064E">
        <w:rPr>
          <w:color w:val="6E86A2"/>
          <w:spacing w:val="12"/>
        </w:rPr>
        <w:t>D</w:t>
      </w:r>
      <w:r w:rsidR="00A02EA1" w:rsidRPr="003B69FF">
        <w:rPr>
          <w:color w:val="6E86A2"/>
          <w:spacing w:val="12"/>
        </w:rPr>
        <w:t>ocuments.</w:t>
      </w:r>
    </w:p>
    <w:p w14:paraId="4BAF5BD6" w14:textId="084DE302" w:rsidR="00A02EA1" w:rsidRPr="00EA15B3" w:rsidRDefault="00A02EA1" w:rsidP="00EA15B3">
      <w:pPr>
        <w:pStyle w:val="ListParagraph"/>
        <w:spacing w:line="252" w:lineRule="auto"/>
        <w:ind w:left="720" w:firstLine="0"/>
        <w:jc w:val="both"/>
        <w:rPr>
          <w:rFonts w:ascii="Aptos" w:eastAsiaTheme="minorHAnsi" w:hAnsi="Aptos"/>
        </w:rPr>
      </w:pPr>
      <w:r>
        <w:rPr>
          <w:rStyle w:val="ui-provider"/>
        </w:rPr>
        <w:t>If providing multiple supporting documents in one PDF, please give each item a descriptive label that aligns with the invoice number provided in the SOF and aligning the order of the items in the SOF Supporting Information tab with the order of the supporting documents as provided.</w:t>
      </w:r>
    </w:p>
    <w:p w14:paraId="479E9969" w14:textId="77777777" w:rsidR="008B65A0" w:rsidRDefault="008B65A0">
      <w:pPr>
        <w:pStyle w:val="BodyText"/>
        <w:spacing w:before="74"/>
      </w:pPr>
    </w:p>
    <w:p w14:paraId="2A7032A1" w14:textId="71548B99" w:rsidR="008B65A0" w:rsidRDefault="003176C0" w:rsidP="00EA15B3">
      <w:pPr>
        <w:pStyle w:val="Heading1"/>
        <w:tabs>
          <w:tab w:val="left" w:pos="559"/>
        </w:tabs>
        <w:spacing w:line="319" w:lineRule="exact"/>
        <w:ind w:left="200" w:firstLine="0"/>
      </w:pPr>
      <w:r>
        <w:rPr>
          <w:color w:val="6E86A2"/>
          <w:spacing w:val="16"/>
        </w:rPr>
        <w:t xml:space="preserve">7. </w:t>
      </w:r>
      <w:r w:rsidR="000841F1">
        <w:rPr>
          <w:color w:val="6E86A2"/>
          <w:spacing w:val="16"/>
        </w:rPr>
        <w:t>Clearly</w:t>
      </w:r>
      <w:r w:rsidR="000841F1">
        <w:rPr>
          <w:color w:val="6E86A2"/>
          <w:spacing w:val="44"/>
        </w:rPr>
        <w:t xml:space="preserve"> </w:t>
      </w:r>
      <w:r w:rsidR="00A8064E">
        <w:rPr>
          <w:color w:val="6E86A2"/>
          <w:spacing w:val="44"/>
        </w:rPr>
        <w:t>E</w:t>
      </w:r>
      <w:r w:rsidR="000841F1">
        <w:rPr>
          <w:color w:val="6E86A2"/>
          <w:spacing w:val="16"/>
        </w:rPr>
        <w:t>xplain</w:t>
      </w:r>
      <w:r w:rsidR="000841F1">
        <w:rPr>
          <w:color w:val="6E86A2"/>
          <w:spacing w:val="42"/>
        </w:rPr>
        <w:t xml:space="preserve"> </w:t>
      </w:r>
      <w:r w:rsidR="00A8064E">
        <w:rPr>
          <w:color w:val="6E86A2"/>
          <w:spacing w:val="42"/>
        </w:rPr>
        <w:t>P</w:t>
      </w:r>
      <w:r w:rsidR="000841F1">
        <w:rPr>
          <w:color w:val="6E86A2"/>
          <w:spacing w:val="14"/>
        </w:rPr>
        <w:t>urchases.</w:t>
      </w:r>
    </w:p>
    <w:p w14:paraId="2D530A07" w14:textId="77777777" w:rsidR="008B65A0" w:rsidRDefault="000841F1">
      <w:pPr>
        <w:pStyle w:val="BodyText"/>
        <w:spacing w:line="254" w:lineRule="auto"/>
        <w:ind w:left="740" w:right="93"/>
      </w:pPr>
      <w:r>
        <w:t>Due to the structure of federal reviews/audits, professionals who are unfamiliar with typical requirements of broadband-specific builds may review financial documents. If a certain supply or form of labor could also be interpreted as an indirect</w:t>
      </w:r>
      <w:r>
        <w:rPr>
          <w:spacing w:val="-1"/>
        </w:rPr>
        <w:t xml:space="preserve"> </w:t>
      </w:r>
      <w:r>
        <w:t>and/or an administra</w:t>
      </w:r>
      <w:r>
        <w:rPr>
          <w:rFonts w:ascii="Tahoma"/>
        </w:rPr>
        <w:t>ti</w:t>
      </w:r>
      <w:r>
        <w:t>ve cost, a written explanation</w:t>
      </w:r>
      <w:r>
        <w:rPr>
          <w:spacing w:val="-2"/>
        </w:rPr>
        <w:t xml:space="preserve"> </w:t>
      </w:r>
      <w:r>
        <w:t>for</w:t>
      </w:r>
      <w:r>
        <w:rPr>
          <w:spacing w:val="-3"/>
        </w:rPr>
        <w:t xml:space="preserve"> </w:t>
      </w:r>
      <w:r>
        <w:t>the</w:t>
      </w:r>
      <w:r>
        <w:rPr>
          <w:spacing w:val="-2"/>
        </w:rPr>
        <w:t xml:space="preserve"> </w:t>
      </w:r>
      <w:r>
        <w:t>use</w:t>
      </w:r>
      <w:r>
        <w:rPr>
          <w:spacing w:val="-2"/>
        </w:rPr>
        <w:t xml:space="preserve"> </w:t>
      </w:r>
      <w:r>
        <w:t>and</w:t>
      </w:r>
      <w:r>
        <w:rPr>
          <w:spacing w:val="-2"/>
        </w:rPr>
        <w:t xml:space="preserve"> </w:t>
      </w:r>
      <w:r>
        <w:t>purpose</w:t>
      </w:r>
      <w:r>
        <w:rPr>
          <w:spacing w:val="-2"/>
        </w:rPr>
        <w:t xml:space="preserve"> </w:t>
      </w:r>
      <w:r>
        <w:t>of</w:t>
      </w:r>
      <w:r>
        <w:rPr>
          <w:spacing w:val="-6"/>
        </w:rPr>
        <w:t xml:space="preserve"> </w:t>
      </w:r>
      <w:r>
        <w:t>the</w:t>
      </w:r>
      <w:r>
        <w:rPr>
          <w:spacing w:val="-2"/>
        </w:rPr>
        <w:t xml:space="preserve"> </w:t>
      </w:r>
      <w:r>
        <w:t>materials,</w:t>
      </w:r>
      <w:r>
        <w:rPr>
          <w:spacing w:val="-6"/>
        </w:rPr>
        <w:t xml:space="preserve"> </w:t>
      </w:r>
      <w:r>
        <w:t>equipment</w:t>
      </w:r>
      <w:r>
        <w:rPr>
          <w:spacing w:val="-6"/>
        </w:rPr>
        <w:t xml:space="preserve"> </w:t>
      </w:r>
      <w:r>
        <w:t>and/or</w:t>
      </w:r>
      <w:r>
        <w:rPr>
          <w:spacing w:val="-3"/>
        </w:rPr>
        <w:t xml:space="preserve"> </w:t>
      </w:r>
      <w:r>
        <w:t>labor</w:t>
      </w:r>
      <w:r>
        <w:rPr>
          <w:spacing w:val="-3"/>
        </w:rPr>
        <w:t xml:space="preserve"> </w:t>
      </w:r>
      <w:r>
        <w:t>must</w:t>
      </w:r>
      <w:r>
        <w:rPr>
          <w:spacing w:val="-6"/>
        </w:rPr>
        <w:t xml:space="preserve"> </w:t>
      </w:r>
      <w:r>
        <w:t>be</w:t>
      </w:r>
      <w:r>
        <w:rPr>
          <w:spacing w:val="-2"/>
        </w:rPr>
        <w:t xml:space="preserve"> </w:t>
      </w:r>
      <w:r>
        <w:t>submitted</w:t>
      </w:r>
      <w:r>
        <w:rPr>
          <w:spacing w:val="-2"/>
        </w:rPr>
        <w:t xml:space="preserve"> </w:t>
      </w:r>
      <w:r>
        <w:t>with reimbursement requests.</w:t>
      </w:r>
    </w:p>
    <w:p w14:paraId="5A0EE734" w14:textId="77777777" w:rsidR="008B65A0" w:rsidRDefault="008B65A0">
      <w:pPr>
        <w:pStyle w:val="BodyText"/>
        <w:spacing w:before="65"/>
      </w:pPr>
    </w:p>
    <w:p w14:paraId="215767F8" w14:textId="77777777" w:rsidR="00EA15B3" w:rsidRDefault="00EA15B3">
      <w:pPr>
        <w:pStyle w:val="BodyText"/>
        <w:spacing w:before="65"/>
      </w:pPr>
    </w:p>
    <w:p w14:paraId="7211CB30" w14:textId="77777777" w:rsidR="00EA15B3" w:rsidRDefault="00EA15B3">
      <w:pPr>
        <w:pStyle w:val="BodyText"/>
        <w:spacing w:before="65"/>
      </w:pPr>
    </w:p>
    <w:p w14:paraId="4AD29B16" w14:textId="77777777" w:rsidR="000841F1" w:rsidRDefault="000841F1">
      <w:pPr>
        <w:pStyle w:val="BodyText"/>
        <w:spacing w:before="65"/>
      </w:pPr>
    </w:p>
    <w:p w14:paraId="08C89A13" w14:textId="2F0BBBA5" w:rsidR="008B65A0" w:rsidRDefault="003176C0" w:rsidP="00EA15B3">
      <w:pPr>
        <w:pStyle w:val="Heading1"/>
        <w:tabs>
          <w:tab w:val="left" w:pos="559"/>
        </w:tabs>
        <w:ind w:left="200" w:firstLine="0"/>
      </w:pPr>
      <w:r>
        <w:rPr>
          <w:color w:val="6E86A2"/>
          <w:spacing w:val="16"/>
        </w:rPr>
        <w:t xml:space="preserve">8. </w:t>
      </w:r>
      <w:r w:rsidR="000841F1">
        <w:rPr>
          <w:color w:val="6E86A2"/>
          <w:spacing w:val="16"/>
        </w:rPr>
        <w:t>Clearly</w:t>
      </w:r>
      <w:r w:rsidR="000841F1">
        <w:rPr>
          <w:color w:val="6E86A2"/>
          <w:spacing w:val="44"/>
        </w:rPr>
        <w:t xml:space="preserve"> </w:t>
      </w:r>
      <w:r w:rsidR="000841F1">
        <w:rPr>
          <w:color w:val="6E86A2"/>
          <w:spacing w:val="17"/>
        </w:rPr>
        <w:t>demonstrate</w:t>
      </w:r>
      <w:r w:rsidR="000841F1">
        <w:rPr>
          <w:color w:val="6E86A2"/>
          <w:spacing w:val="43"/>
        </w:rPr>
        <w:t xml:space="preserve"> </w:t>
      </w:r>
      <w:r w:rsidR="000841F1">
        <w:rPr>
          <w:color w:val="6E86A2"/>
          <w:spacing w:val="17"/>
        </w:rPr>
        <w:t>remittance</w:t>
      </w:r>
      <w:r w:rsidR="000841F1">
        <w:rPr>
          <w:color w:val="6E86A2"/>
          <w:spacing w:val="44"/>
        </w:rPr>
        <w:t xml:space="preserve"> </w:t>
      </w:r>
      <w:r w:rsidR="000841F1">
        <w:rPr>
          <w:color w:val="6E86A2"/>
          <w:spacing w:val="14"/>
        </w:rPr>
        <w:t>payments.</w:t>
      </w:r>
    </w:p>
    <w:p w14:paraId="12CB78C3" w14:textId="77777777" w:rsidR="008B65A0" w:rsidRDefault="000841F1">
      <w:pPr>
        <w:pStyle w:val="BodyText"/>
        <w:spacing w:before="6" w:line="254" w:lineRule="auto"/>
        <w:ind w:left="740" w:right="371"/>
        <w:jc w:val="both"/>
      </w:pPr>
      <w:r>
        <w:t>A</w:t>
      </w:r>
      <w:r>
        <w:rPr>
          <w:spacing w:val="-4"/>
        </w:rPr>
        <w:t xml:space="preserve"> </w:t>
      </w:r>
      <w:r>
        <w:t>clear</w:t>
      </w:r>
      <w:r>
        <w:rPr>
          <w:spacing w:val="-1"/>
        </w:rPr>
        <w:t xml:space="preserve"> </w:t>
      </w:r>
      <w:r>
        <w:t>rela</w:t>
      </w:r>
      <w:r>
        <w:rPr>
          <w:rFonts w:ascii="Tahoma"/>
        </w:rPr>
        <w:t>ti</w:t>
      </w:r>
      <w:r>
        <w:t>onship between</w:t>
      </w:r>
      <w:r>
        <w:rPr>
          <w:spacing w:val="-5"/>
        </w:rPr>
        <w:t xml:space="preserve"> </w:t>
      </w:r>
      <w:r>
        <w:t>remittance and proof</w:t>
      </w:r>
      <w:r>
        <w:rPr>
          <w:spacing w:val="-4"/>
        </w:rPr>
        <w:t xml:space="preserve"> </w:t>
      </w:r>
      <w:r>
        <w:t>of</w:t>
      </w:r>
      <w:r>
        <w:rPr>
          <w:spacing w:val="-8"/>
        </w:rPr>
        <w:t xml:space="preserve"> </w:t>
      </w:r>
      <w:r>
        <w:t>payment</w:t>
      </w:r>
      <w:r>
        <w:rPr>
          <w:spacing w:val="-4"/>
        </w:rPr>
        <w:t xml:space="preserve"> </w:t>
      </w:r>
      <w:r>
        <w:t>is</w:t>
      </w:r>
      <w:r>
        <w:rPr>
          <w:spacing w:val="-3"/>
        </w:rPr>
        <w:t xml:space="preserve"> </w:t>
      </w:r>
      <w:r>
        <w:t>necessary</w:t>
      </w:r>
      <w:r>
        <w:rPr>
          <w:spacing w:val="-3"/>
        </w:rPr>
        <w:t xml:space="preserve"> </w:t>
      </w:r>
      <w:r>
        <w:t>for</w:t>
      </w:r>
      <w:r>
        <w:rPr>
          <w:spacing w:val="-1"/>
        </w:rPr>
        <w:t xml:space="preserve"> </w:t>
      </w:r>
      <w:r>
        <w:t>all</w:t>
      </w:r>
      <w:r>
        <w:rPr>
          <w:spacing w:val="-3"/>
        </w:rPr>
        <w:t xml:space="preserve"> </w:t>
      </w:r>
      <w:r>
        <w:t>projects</w:t>
      </w:r>
      <w:r>
        <w:rPr>
          <w:spacing w:val="-1"/>
        </w:rPr>
        <w:t xml:space="preserve"> </w:t>
      </w:r>
      <w:r>
        <w:t>but</w:t>
      </w:r>
      <w:r>
        <w:rPr>
          <w:spacing w:val="-4"/>
        </w:rPr>
        <w:t xml:space="preserve"> </w:t>
      </w:r>
      <w:r>
        <w:t>can become</w:t>
      </w:r>
      <w:r>
        <w:rPr>
          <w:spacing w:val="-1"/>
        </w:rPr>
        <w:t xml:space="preserve"> </w:t>
      </w:r>
      <w:r>
        <w:t>more complex when a subrecipient is managing</w:t>
      </w:r>
      <w:r>
        <w:rPr>
          <w:spacing w:val="-1"/>
        </w:rPr>
        <w:t xml:space="preserve"> </w:t>
      </w:r>
      <w:r>
        <w:t>or paying</w:t>
      </w:r>
      <w:r>
        <w:rPr>
          <w:spacing w:val="-1"/>
        </w:rPr>
        <w:t xml:space="preserve"> </w:t>
      </w:r>
      <w:r>
        <w:t>for mul</w:t>
      </w:r>
      <w:r>
        <w:rPr>
          <w:rFonts w:ascii="Tahoma"/>
        </w:rPr>
        <w:t>ti</w:t>
      </w:r>
      <w:r>
        <w:t>ple</w:t>
      </w:r>
      <w:r>
        <w:rPr>
          <w:spacing w:val="-1"/>
        </w:rPr>
        <w:t xml:space="preserve"> </w:t>
      </w:r>
      <w:r>
        <w:t>projects (either for the ConnectMT Program or otherwise) that may be captured in the same proof of payment.</w:t>
      </w:r>
    </w:p>
    <w:p w14:paraId="58CA4A65" w14:textId="2F0A7781" w:rsidR="003B69FF" w:rsidRDefault="000841F1" w:rsidP="00EA15B3">
      <w:pPr>
        <w:pStyle w:val="BodyText"/>
        <w:spacing w:before="1" w:line="252" w:lineRule="auto"/>
        <w:ind w:left="740" w:right="362"/>
        <w:jc w:val="both"/>
      </w:pPr>
      <w:r>
        <w:t>Remittance</w:t>
      </w:r>
      <w:r>
        <w:rPr>
          <w:spacing w:val="-2"/>
        </w:rPr>
        <w:t xml:space="preserve"> </w:t>
      </w:r>
      <w:r>
        <w:t>must</w:t>
      </w:r>
      <w:r>
        <w:rPr>
          <w:spacing w:val="-1"/>
        </w:rPr>
        <w:t xml:space="preserve"> </w:t>
      </w:r>
      <w:r>
        <w:t>demonstrate the relevant</w:t>
      </w:r>
      <w:r>
        <w:rPr>
          <w:spacing w:val="-1"/>
        </w:rPr>
        <w:t xml:space="preserve"> </w:t>
      </w:r>
      <w:r>
        <w:t>project invoices</w:t>
      </w:r>
      <w:r>
        <w:rPr>
          <w:spacing w:val="-5"/>
        </w:rPr>
        <w:t xml:space="preserve"> </w:t>
      </w:r>
      <w:r>
        <w:t>have been paid.</w:t>
      </w:r>
      <w:r>
        <w:rPr>
          <w:spacing w:val="-1"/>
        </w:rPr>
        <w:t xml:space="preserve"> </w:t>
      </w:r>
      <w:r>
        <w:t>Be sure to show how the</w:t>
      </w:r>
      <w:r>
        <w:rPr>
          <w:spacing w:val="-1"/>
        </w:rPr>
        <w:t xml:space="preserve"> </w:t>
      </w:r>
      <w:r>
        <w:t>remittance</w:t>
      </w:r>
      <w:r>
        <w:rPr>
          <w:spacing w:val="-6"/>
        </w:rPr>
        <w:t xml:space="preserve"> </w:t>
      </w:r>
      <w:r>
        <w:t>and proof</w:t>
      </w:r>
      <w:r>
        <w:rPr>
          <w:spacing w:val="-5"/>
        </w:rPr>
        <w:t xml:space="preserve"> </w:t>
      </w:r>
      <w:r>
        <w:t>of</w:t>
      </w:r>
      <w:r>
        <w:rPr>
          <w:spacing w:val="-4"/>
        </w:rPr>
        <w:t xml:space="preserve"> </w:t>
      </w:r>
      <w:r>
        <w:t>payment</w:t>
      </w:r>
      <w:r>
        <w:rPr>
          <w:spacing w:val="-5"/>
        </w:rPr>
        <w:t xml:space="preserve"> </w:t>
      </w:r>
      <w:r>
        <w:t>relate</w:t>
      </w:r>
      <w:r>
        <w:rPr>
          <w:spacing w:val="-1"/>
        </w:rPr>
        <w:t xml:space="preserve"> </w:t>
      </w:r>
      <w:r>
        <w:t>using</w:t>
      </w:r>
      <w:r>
        <w:rPr>
          <w:spacing w:val="-6"/>
        </w:rPr>
        <w:t xml:space="preserve"> </w:t>
      </w:r>
      <w:r>
        <w:t>project-consistent</w:t>
      </w:r>
      <w:r>
        <w:rPr>
          <w:spacing w:val="-3"/>
        </w:rPr>
        <w:t xml:space="preserve"> </w:t>
      </w:r>
      <w:r>
        <w:t>invoice notes</w:t>
      </w:r>
      <w:r>
        <w:rPr>
          <w:spacing w:val="-4"/>
        </w:rPr>
        <w:t xml:space="preserve"> </w:t>
      </w:r>
      <w:r>
        <w:t>that</w:t>
      </w:r>
      <w:r>
        <w:rPr>
          <w:spacing w:val="-5"/>
        </w:rPr>
        <w:t xml:space="preserve"> </w:t>
      </w:r>
      <w:r>
        <w:t>clearly</w:t>
      </w:r>
      <w:r>
        <w:rPr>
          <w:spacing w:val="-4"/>
        </w:rPr>
        <w:t xml:space="preserve"> </w:t>
      </w:r>
      <w:r>
        <w:t>label which cost corresponds to the project funding request.</w:t>
      </w:r>
    </w:p>
    <w:p w14:paraId="6503CCB8" w14:textId="77777777" w:rsidR="003B69FF" w:rsidRPr="003B69FF" w:rsidRDefault="003B69FF" w:rsidP="003B69FF">
      <w:pPr>
        <w:pStyle w:val="BodyText"/>
        <w:spacing w:before="6" w:line="252" w:lineRule="auto"/>
        <w:ind w:left="740" w:right="168"/>
      </w:pPr>
    </w:p>
    <w:p w14:paraId="6C832502" w14:textId="33DCDF7B" w:rsidR="003B69FF" w:rsidRPr="003B69FF" w:rsidRDefault="003176C0" w:rsidP="00EA15B3">
      <w:pPr>
        <w:pStyle w:val="Heading1"/>
        <w:tabs>
          <w:tab w:val="left" w:pos="559"/>
        </w:tabs>
        <w:ind w:left="200" w:firstLine="0"/>
        <w:rPr>
          <w:color w:val="6E86A2"/>
          <w:spacing w:val="12"/>
        </w:rPr>
      </w:pPr>
      <w:r>
        <w:rPr>
          <w:color w:val="6E86A2"/>
          <w:spacing w:val="12"/>
        </w:rPr>
        <w:t xml:space="preserve">9. </w:t>
      </w:r>
      <w:r w:rsidR="003B69FF" w:rsidRPr="003B69FF">
        <w:rPr>
          <w:color w:val="6E86A2"/>
          <w:spacing w:val="12"/>
        </w:rPr>
        <w:t>Submit reimbursement requests in a timely manner.</w:t>
      </w:r>
    </w:p>
    <w:p w14:paraId="7E2FC0C6" w14:textId="409736CE" w:rsidR="003B69FF" w:rsidRDefault="00FB5E13" w:rsidP="003B69FF">
      <w:pPr>
        <w:pStyle w:val="ListParagraph"/>
        <w:spacing w:line="252" w:lineRule="auto"/>
        <w:ind w:left="720" w:firstLine="0"/>
        <w:jc w:val="both"/>
        <w:rPr>
          <w:rStyle w:val="ui-provider"/>
          <w:rFonts w:eastAsiaTheme="minorHAnsi"/>
        </w:rPr>
      </w:pPr>
      <w:r>
        <w:rPr>
          <w:rStyle w:val="ui-provider"/>
        </w:rPr>
        <w:t>To support more prompt and timely review of Reimbursement Requests please consider submitting</w:t>
      </w:r>
      <w:r w:rsidR="003B69FF">
        <w:rPr>
          <w:rStyle w:val="ui-provider"/>
        </w:rPr>
        <w:t xml:space="preserve"> at least one </w:t>
      </w:r>
      <w:r>
        <w:rPr>
          <w:rStyle w:val="ui-provider"/>
        </w:rPr>
        <w:t>R</w:t>
      </w:r>
      <w:r w:rsidR="003B69FF">
        <w:rPr>
          <w:rStyle w:val="ui-provider"/>
        </w:rPr>
        <w:t xml:space="preserve">equest </w:t>
      </w:r>
      <w:r>
        <w:rPr>
          <w:rStyle w:val="ui-provider"/>
        </w:rPr>
        <w:t xml:space="preserve">at least </w:t>
      </w:r>
      <w:r w:rsidR="003B69FF">
        <w:rPr>
          <w:rStyle w:val="ui-provider"/>
        </w:rPr>
        <w:t>every 60 days</w:t>
      </w:r>
      <w:r>
        <w:rPr>
          <w:rStyle w:val="ui-provider"/>
        </w:rPr>
        <w:t xml:space="preserve">. </w:t>
      </w:r>
      <w:r w:rsidR="003B69FF">
        <w:rPr>
          <w:rStyle w:val="ui-provider"/>
        </w:rPr>
        <w:t xml:space="preserve">This cadence will support a more prompt and timely review process. </w:t>
      </w:r>
    </w:p>
    <w:p w14:paraId="0903604C" w14:textId="77777777" w:rsidR="003B69FF" w:rsidRDefault="003B69FF" w:rsidP="003B69FF">
      <w:pPr>
        <w:pStyle w:val="ListParagraph"/>
        <w:spacing w:line="252" w:lineRule="auto"/>
        <w:jc w:val="both"/>
        <w:rPr>
          <w:rStyle w:val="ui-provider"/>
          <w:rFonts w:ascii="Calibri" w:hAnsi="Calibri"/>
        </w:rPr>
      </w:pPr>
    </w:p>
    <w:p w14:paraId="4CEBD21E" w14:textId="77777777" w:rsidR="003B69FF" w:rsidRDefault="003B69FF" w:rsidP="003B69FF">
      <w:pPr>
        <w:pStyle w:val="ListParagraph"/>
        <w:spacing w:line="252" w:lineRule="auto"/>
        <w:jc w:val="both"/>
        <w:rPr>
          <w:rStyle w:val="ui-provider"/>
        </w:rPr>
      </w:pPr>
    </w:p>
    <w:p w14:paraId="57117066" w14:textId="77777777" w:rsidR="003B69FF" w:rsidRDefault="003B69FF" w:rsidP="003B69FF">
      <w:pPr>
        <w:pStyle w:val="ListParagraph"/>
        <w:spacing w:line="252" w:lineRule="auto"/>
        <w:jc w:val="both"/>
        <w:rPr>
          <w:rStyle w:val="ui-provider"/>
        </w:rPr>
      </w:pPr>
    </w:p>
    <w:p w14:paraId="6C45E211" w14:textId="77777777" w:rsidR="003B69FF" w:rsidRDefault="003B69FF" w:rsidP="003B69FF">
      <w:pPr>
        <w:pStyle w:val="ListParagraph"/>
        <w:spacing w:line="252" w:lineRule="auto"/>
        <w:jc w:val="both"/>
        <w:rPr>
          <w:rStyle w:val="ui-provider"/>
          <w:rFonts w:ascii="Calibri" w:hAnsi="Calibri"/>
        </w:rPr>
      </w:pPr>
    </w:p>
    <w:p w14:paraId="6DD46CDC" w14:textId="77777777" w:rsidR="003B69FF" w:rsidRDefault="003B69FF" w:rsidP="003B69FF">
      <w:pPr>
        <w:pStyle w:val="ListParagraph"/>
        <w:spacing w:line="252" w:lineRule="auto"/>
        <w:jc w:val="both"/>
        <w:rPr>
          <w:rStyle w:val="ui-provider"/>
          <w:rFonts w:ascii="Calibri" w:hAnsi="Calibri"/>
        </w:rPr>
      </w:pPr>
    </w:p>
    <w:p w14:paraId="64ABE3D4" w14:textId="77777777" w:rsidR="003B69FF" w:rsidRDefault="003B69FF" w:rsidP="003B69FF">
      <w:pPr>
        <w:pStyle w:val="ListParagraph"/>
        <w:spacing w:line="252" w:lineRule="auto"/>
        <w:jc w:val="both"/>
        <w:rPr>
          <w:rStyle w:val="ui-provider"/>
        </w:rPr>
      </w:pPr>
    </w:p>
    <w:p w14:paraId="31503254" w14:textId="77777777" w:rsidR="003B69FF" w:rsidRDefault="003B69FF" w:rsidP="003B69FF">
      <w:pPr>
        <w:rPr>
          <w:rFonts w:ascii="Calibri" w:hAnsi="Calibri"/>
        </w:rPr>
      </w:pPr>
    </w:p>
    <w:p w14:paraId="2640D77A" w14:textId="77777777" w:rsidR="008B65A0" w:rsidRDefault="008B65A0">
      <w:pPr>
        <w:pStyle w:val="BodyText"/>
        <w:rPr>
          <w:sz w:val="18"/>
        </w:rPr>
      </w:pPr>
    </w:p>
    <w:p w14:paraId="2097343F" w14:textId="77777777" w:rsidR="008B65A0" w:rsidRDefault="008B65A0">
      <w:pPr>
        <w:pStyle w:val="BodyText"/>
        <w:rPr>
          <w:sz w:val="18"/>
        </w:rPr>
      </w:pPr>
    </w:p>
    <w:p w14:paraId="63BC1D57" w14:textId="77777777" w:rsidR="008B65A0" w:rsidRDefault="008B65A0">
      <w:pPr>
        <w:pStyle w:val="BodyText"/>
        <w:rPr>
          <w:sz w:val="18"/>
        </w:rPr>
      </w:pPr>
    </w:p>
    <w:p w14:paraId="42BE853F" w14:textId="77777777" w:rsidR="008B65A0" w:rsidRDefault="008B65A0">
      <w:pPr>
        <w:pStyle w:val="BodyText"/>
        <w:rPr>
          <w:sz w:val="18"/>
        </w:rPr>
      </w:pPr>
    </w:p>
    <w:p w14:paraId="220A9848" w14:textId="77777777" w:rsidR="008B65A0" w:rsidRDefault="008B65A0">
      <w:pPr>
        <w:pStyle w:val="BodyText"/>
        <w:rPr>
          <w:sz w:val="18"/>
        </w:rPr>
      </w:pPr>
    </w:p>
    <w:p w14:paraId="0B80C632" w14:textId="77777777" w:rsidR="008B65A0" w:rsidRDefault="008B65A0">
      <w:pPr>
        <w:pStyle w:val="BodyText"/>
        <w:spacing w:before="121"/>
        <w:rPr>
          <w:sz w:val="18"/>
        </w:rPr>
      </w:pPr>
    </w:p>
    <w:sectPr w:rsidR="008B65A0">
      <w:footerReference w:type="default" r:id="rId9"/>
      <w:type w:val="continuous"/>
      <w:pgSz w:w="12240" w:h="15840"/>
      <w:pgMar w:top="940" w:right="92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2EED" w14:textId="77777777" w:rsidR="00D21238" w:rsidRDefault="00D21238" w:rsidP="003B69FF">
      <w:r>
        <w:separator/>
      </w:r>
    </w:p>
  </w:endnote>
  <w:endnote w:type="continuationSeparator" w:id="0">
    <w:p w14:paraId="706E4C5D" w14:textId="77777777" w:rsidR="00D21238" w:rsidRDefault="00D21238" w:rsidP="003B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F422A" w14:textId="77777777" w:rsidR="003B69FF" w:rsidRDefault="003B69FF" w:rsidP="003B69FF">
    <w:pPr>
      <w:ind w:left="315"/>
      <w:jc w:val="center"/>
      <w:rPr>
        <w:sz w:val="18"/>
      </w:rPr>
    </w:pPr>
    <w:r>
      <w:rPr>
        <w:color w:val="6E86A2"/>
        <w:sz w:val="18"/>
      </w:rPr>
      <w:t>CONNECTMT</w:t>
    </w:r>
    <w:r>
      <w:rPr>
        <w:color w:val="6E86A2"/>
        <w:spacing w:val="-4"/>
        <w:sz w:val="18"/>
      </w:rPr>
      <w:t xml:space="preserve"> </w:t>
    </w:r>
    <w:r>
      <w:rPr>
        <w:color w:val="6E86A2"/>
        <w:sz w:val="18"/>
      </w:rPr>
      <w:t>PROGRAM</w:t>
    </w:r>
    <w:r>
      <w:rPr>
        <w:color w:val="6E86A2"/>
        <w:spacing w:val="43"/>
        <w:sz w:val="18"/>
      </w:rPr>
      <w:t xml:space="preserve"> </w:t>
    </w:r>
    <w:r>
      <w:rPr>
        <w:color w:val="6E86A2"/>
        <w:sz w:val="18"/>
      </w:rPr>
      <w:t>|</w:t>
    </w:r>
    <w:r>
      <w:rPr>
        <w:color w:val="6E86A2"/>
        <w:spacing w:val="42"/>
        <w:sz w:val="18"/>
      </w:rPr>
      <w:t xml:space="preserve"> </w:t>
    </w:r>
    <w:r>
      <w:rPr>
        <w:color w:val="6E86A2"/>
        <w:sz w:val="18"/>
      </w:rPr>
      <w:t>Quick</w:t>
    </w:r>
    <w:r>
      <w:rPr>
        <w:color w:val="6E86A2"/>
        <w:spacing w:val="-3"/>
        <w:sz w:val="18"/>
      </w:rPr>
      <w:t xml:space="preserve"> </w:t>
    </w:r>
    <w:r>
      <w:rPr>
        <w:color w:val="6E86A2"/>
        <w:sz w:val="18"/>
      </w:rPr>
      <w:t>Tips</w:t>
    </w:r>
    <w:r>
      <w:rPr>
        <w:color w:val="6E86A2"/>
        <w:spacing w:val="-3"/>
        <w:sz w:val="18"/>
      </w:rPr>
      <w:t xml:space="preserve"> </w:t>
    </w:r>
    <w:r>
      <w:rPr>
        <w:color w:val="6E86A2"/>
        <w:sz w:val="18"/>
      </w:rPr>
      <w:t>for</w:t>
    </w:r>
    <w:r>
      <w:rPr>
        <w:color w:val="6E86A2"/>
        <w:spacing w:val="-3"/>
        <w:sz w:val="18"/>
      </w:rPr>
      <w:t xml:space="preserve"> </w:t>
    </w:r>
    <w:r>
      <w:rPr>
        <w:color w:val="6E86A2"/>
        <w:sz w:val="18"/>
      </w:rPr>
      <w:t>Reimbursement</w:t>
    </w:r>
    <w:r>
      <w:rPr>
        <w:color w:val="6E86A2"/>
        <w:spacing w:val="-3"/>
        <w:sz w:val="18"/>
      </w:rPr>
      <w:t xml:space="preserve"> </w:t>
    </w:r>
    <w:r>
      <w:rPr>
        <w:color w:val="6E86A2"/>
        <w:spacing w:val="-2"/>
        <w:sz w:val="18"/>
      </w:rPr>
      <w:t>Requests</w:t>
    </w:r>
  </w:p>
  <w:p w14:paraId="0A8AC33F" w14:textId="1FDA0E9D" w:rsidR="003B69FF" w:rsidRDefault="003B69FF">
    <w:pPr>
      <w:pStyle w:val="Footer"/>
      <w:tabs>
        <w:tab w:val="clear" w:pos="4680"/>
        <w:tab w:val="clear" w:pos="9360"/>
      </w:tabs>
      <w:jc w:val="center"/>
      <w:rPr>
        <w:caps/>
        <w:noProof/>
        <w:color w:val="4F81BD" w:themeColor="accent1"/>
      </w:rPr>
    </w:pPr>
  </w:p>
  <w:p w14:paraId="5EBD10D9" w14:textId="77777777" w:rsidR="003B69FF" w:rsidRDefault="003B6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7A4B9" w14:textId="77777777" w:rsidR="00D21238" w:rsidRDefault="00D21238" w:rsidP="003B69FF">
      <w:r>
        <w:separator/>
      </w:r>
    </w:p>
  </w:footnote>
  <w:footnote w:type="continuationSeparator" w:id="0">
    <w:p w14:paraId="2DB22634" w14:textId="77777777" w:rsidR="00D21238" w:rsidRDefault="00D21238" w:rsidP="003B6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75987"/>
    <w:multiLevelType w:val="hybridMultilevel"/>
    <w:tmpl w:val="D0F6F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C76562"/>
    <w:multiLevelType w:val="hybridMultilevel"/>
    <w:tmpl w:val="4EB6FE7E"/>
    <w:lvl w:ilvl="0" w:tplc="CBACF924">
      <w:start w:val="1"/>
      <w:numFmt w:val="decimal"/>
      <w:lvlText w:val="%1."/>
      <w:lvlJc w:val="left"/>
      <w:pPr>
        <w:ind w:left="560" w:hanging="360"/>
      </w:pPr>
      <w:rPr>
        <w:rFonts w:ascii="Arial" w:eastAsia="Arial" w:hAnsi="Arial" w:cs="Arial" w:hint="default"/>
        <w:b/>
        <w:bCs/>
        <w:i w:val="0"/>
        <w:iCs w:val="0"/>
        <w:color w:val="6E86A2"/>
        <w:spacing w:val="0"/>
        <w:w w:val="100"/>
        <w:sz w:val="28"/>
        <w:szCs w:val="28"/>
        <w:lang w:val="en-US" w:eastAsia="en-US" w:bidi="ar-SA"/>
      </w:rPr>
    </w:lvl>
    <w:lvl w:ilvl="1" w:tplc="63D0AE26">
      <w:numFmt w:val="bullet"/>
      <w:lvlText w:val="•"/>
      <w:lvlJc w:val="left"/>
      <w:pPr>
        <w:ind w:left="1566" w:hanging="360"/>
      </w:pPr>
      <w:rPr>
        <w:rFonts w:hint="default"/>
        <w:lang w:val="en-US" w:eastAsia="en-US" w:bidi="ar-SA"/>
      </w:rPr>
    </w:lvl>
    <w:lvl w:ilvl="2" w:tplc="6D584AA4">
      <w:numFmt w:val="bullet"/>
      <w:lvlText w:val="•"/>
      <w:lvlJc w:val="left"/>
      <w:pPr>
        <w:ind w:left="2572" w:hanging="360"/>
      </w:pPr>
      <w:rPr>
        <w:rFonts w:hint="default"/>
        <w:lang w:val="en-US" w:eastAsia="en-US" w:bidi="ar-SA"/>
      </w:rPr>
    </w:lvl>
    <w:lvl w:ilvl="3" w:tplc="DB0ACA94">
      <w:numFmt w:val="bullet"/>
      <w:lvlText w:val="•"/>
      <w:lvlJc w:val="left"/>
      <w:pPr>
        <w:ind w:left="3578" w:hanging="360"/>
      </w:pPr>
      <w:rPr>
        <w:rFonts w:hint="default"/>
        <w:lang w:val="en-US" w:eastAsia="en-US" w:bidi="ar-SA"/>
      </w:rPr>
    </w:lvl>
    <w:lvl w:ilvl="4" w:tplc="1212A448">
      <w:numFmt w:val="bullet"/>
      <w:lvlText w:val="•"/>
      <w:lvlJc w:val="left"/>
      <w:pPr>
        <w:ind w:left="4584" w:hanging="360"/>
      </w:pPr>
      <w:rPr>
        <w:rFonts w:hint="default"/>
        <w:lang w:val="en-US" w:eastAsia="en-US" w:bidi="ar-SA"/>
      </w:rPr>
    </w:lvl>
    <w:lvl w:ilvl="5" w:tplc="EB8AA6F8">
      <w:numFmt w:val="bullet"/>
      <w:lvlText w:val="•"/>
      <w:lvlJc w:val="left"/>
      <w:pPr>
        <w:ind w:left="5590" w:hanging="360"/>
      </w:pPr>
      <w:rPr>
        <w:rFonts w:hint="default"/>
        <w:lang w:val="en-US" w:eastAsia="en-US" w:bidi="ar-SA"/>
      </w:rPr>
    </w:lvl>
    <w:lvl w:ilvl="6" w:tplc="11E4C2C6">
      <w:numFmt w:val="bullet"/>
      <w:lvlText w:val="•"/>
      <w:lvlJc w:val="left"/>
      <w:pPr>
        <w:ind w:left="6596" w:hanging="360"/>
      </w:pPr>
      <w:rPr>
        <w:rFonts w:hint="default"/>
        <w:lang w:val="en-US" w:eastAsia="en-US" w:bidi="ar-SA"/>
      </w:rPr>
    </w:lvl>
    <w:lvl w:ilvl="7" w:tplc="CEEE2B3A">
      <w:numFmt w:val="bullet"/>
      <w:lvlText w:val="•"/>
      <w:lvlJc w:val="left"/>
      <w:pPr>
        <w:ind w:left="7602" w:hanging="360"/>
      </w:pPr>
      <w:rPr>
        <w:rFonts w:hint="default"/>
        <w:lang w:val="en-US" w:eastAsia="en-US" w:bidi="ar-SA"/>
      </w:rPr>
    </w:lvl>
    <w:lvl w:ilvl="8" w:tplc="D4D22022">
      <w:numFmt w:val="bullet"/>
      <w:lvlText w:val="•"/>
      <w:lvlJc w:val="left"/>
      <w:pPr>
        <w:ind w:left="8608" w:hanging="360"/>
      </w:pPr>
      <w:rPr>
        <w:rFonts w:hint="default"/>
        <w:lang w:val="en-US" w:eastAsia="en-US" w:bidi="ar-SA"/>
      </w:rPr>
    </w:lvl>
  </w:abstractNum>
  <w:num w:numId="1" w16cid:durableId="166142380">
    <w:abstractNumId w:val="1"/>
  </w:num>
  <w:num w:numId="2" w16cid:durableId="1247494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156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A0"/>
    <w:rsid w:val="000841F1"/>
    <w:rsid w:val="001B59F9"/>
    <w:rsid w:val="001D7EFC"/>
    <w:rsid w:val="00273C86"/>
    <w:rsid w:val="003176C0"/>
    <w:rsid w:val="003B69FF"/>
    <w:rsid w:val="0059479A"/>
    <w:rsid w:val="00812B46"/>
    <w:rsid w:val="0082231A"/>
    <w:rsid w:val="008B65A0"/>
    <w:rsid w:val="00A02EA1"/>
    <w:rsid w:val="00A8064E"/>
    <w:rsid w:val="00BC50D9"/>
    <w:rsid w:val="00D21238"/>
    <w:rsid w:val="00E23E2A"/>
    <w:rsid w:val="00EA15B3"/>
    <w:rsid w:val="00F57136"/>
    <w:rsid w:val="00FB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0C4734"/>
  <w15:docId w15:val="{BD045CB7-74F4-4A15-A2B0-79D462DB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59" w:hanging="35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29" w:lineRule="exact"/>
      <w:ind w:left="2451"/>
    </w:pPr>
    <w:rPr>
      <w:b/>
      <w:bCs/>
      <w:sz w:val="47"/>
      <w:szCs w:val="47"/>
    </w:rPr>
  </w:style>
  <w:style w:type="paragraph" w:styleId="ListParagraph">
    <w:name w:val="List Paragraph"/>
    <w:basedOn w:val="Normal"/>
    <w:uiPriority w:val="34"/>
    <w:qFormat/>
    <w:pPr>
      <w:ind w:left="559" w:hanging="359"/>
    </w:pPr>
  </w:style>
  <w:style w:type="paragraph" w:customStyle="1" w:styleId="TableParagraph">
    <w:name w:val="Table Paragraph"/>
    <w:basedOn w:val="Normal"/>
    <w:uiPriority w:val="1"/>
    <w:qFormat/>
  </w:style>
  <w:style w:type="character" w:customStyle="1" w:styleId="ui-provider">
    <w:name w:val="ui-provider"/>
    <w:basedOn w:val="DefaultParagraphFont"/>
    <w:rsid w:val="003B69FF"/>
  </w:style>
  <w:style w:type="paragraph" w:styleId="Header">
    <w:name w:val="header"/>
    <w:basedOn w:val="Normal"/>
    <w:link w:val="HeaderChar"/>
    <w:uiPriority w:val="99"/>
    <w:unhideWhenUsed/>
    <w:rsid w:val="003B69FF"/>
    <w:pPr>
      <w:tabs>
        <w:tab w:val="center" w:pos="4680"/>
        <w:tab w:val="right" w:pos="9360"/>
      </w:tabs>
    </w:pPr>
  </w:style>
  <w:style w:type="character" w:customStyle="1" w:styleId="HeaderChar">
    <w:name w:val="Header Char"/>
    <w:basedOn w:val="DefaultParagraphFont"/>
    <w:link w:val="Header"/>
    <w:uiPriority w:val="99"/>
    <w:rsid w:val="003B69FF"/>
    <w:rPr>
      <w:rFonts w:ascii="Arial" w:eastAsia="Arial" w:hAnsi="Arial" w:cs="Arial"/>
    </w:rPr>
  </w:style>
  <w:style w:type="paragraph" w:styleId="Footer">
    <w:name w:val="footer"/>
    <w:basedOn w:val="Normal"/>
    <w:link w:val="FooterChar"/>
    <w:uiPriority w:val="99"/>
    <w:unhideWhenUsed/>
    <w:rsid w:val="003B69FF"/>
    <w:pPr>
      <w:tabs>
        <w:tab w:val="center" w:pos="4680"/>
        <w:tab w:val="right" w:pos="9360"/>
      </w:tabs>
    </w:pPr>
  </w:style>
  <w:style w:type="character" w:customStyle="1" w:styleId="FooterChar">
    <w:name w:val="Footer Char"/>
    <w:basedOn w:val="DefaultParagraphFont"/>
    <w:link w:val="Footer"/>
    <w:uiPriority w:val="99"/>
    <w:rsid w:val="003B69FF"/>
    <w:rPr>
      <w:rFonts w:ascii="Arial" w:eastAsia="Arial" w:hAnsi="Arial" w:cs="Arial"/>
    </w:rPr>
  </w:style>
  <w:style w:type="paragraph" w:styleId="Revision">
    <w:name w:val="Revision"/>
    <w:hidden/>
    <w:uiPriority w:val="99"/>
    <w:semiHidden/>
    <w:rsid w:val="00BC50D9"/>
    <w:pPr>
      <w:widowControl/>
      <w:autoSpaceDE/>
      <w:autoSpaceDN/>
    </w:pPr>
    <w:rPr>
      <w:rFonts w:ascii="Arial" w:eastAsia="Arial" w:hAnsi="Arial" w:cs="Arial"/>
    </w:rPr>
  </w:style>
  <w:style w:type="character" w:styleId="Hyperlink">
    <w:name w:val="Hyperlink"/>
    <w:basedOn w:val="DefaultParagraphFont"/>
    <w:uiPriority w:val="99"/>
    <w:unhideWhenUsed/>
    <w:rsid w:val="00BC50D9"/>
    <w:rPr>
      <w:color w:val="0000FF" w:themeColor="hyperlink"/>
      <w:u w:val="single"/>
    </w:rPr>
  </w:style>
  <w:style w:type="character" w:styleId="UnresolvedMention">
    <w:name w:val="Unresolved Mention"/>
    <w:basedOn w:val="DefaultParagraphFont"/>
    <w:uiPriority w:val="99"/>
    <w:semiHidden/>
    <w:unhideWhenUsed/>
    <w:rsid w:val="00BC5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521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t.amplifund.com/account/Login.asp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Connectmt program</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Connectmt program</dc:title>
  <dc:subject>Quick Tips for Reimbursement Requests</dc:subject>
  <dc:creator>Johnathan E Kimble</dc:creator>
  <cp:lastModifiedBy>Keller, Moriah</cp:lastModifiedBy>
  <cp:revision>2</cp:revision>
  <dcterms:created xsi:type="dcterms:W3CDTF">2025-03-01T01:36:00Z</dcterms:created>
  <dcterms:modified xsi:type="dcterms:W3CDTF">2025-03-01T01:36:00Z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Microsoft Word</vt:lpwstr>
  </property>
  <property fmtid="{D5CDD505-2E9C-101B-9397-08002B2CF9AE}" pid="4" name="LastSaved">
    <vt:filetime>2023-12-29T00:00:00Z</vt:filetime>
  </property>
</Properties>
</file>